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22DD6">
      <w:pPr>
        <w:jc w:val="center"/>
        <w:rPr>
          <w:rFonts w:ascii="宋体" w:hAnsi="宋体" w:eastAsia="宋体"/>
          <w:b/>
          <w:bCs/>
          <w:sz w:val="32"/>
          <w:szCs w:val="32"/>
        </w:rPr>
      </w:pPr>
      <w:r>
        <w:rPr>
          <w:rFonts w:hint="default" w:ascii="宋体" w:hAnsi="宋体" w:eastAsia="宋体"/>
          <w:b/>
          <w:bCs/>
          <w:sz w:val="32"/>
          <w:szCs w:val="32"/>
          <w:lang w:val="en-US" w:eastAsia="zh-CN"/>
        </w:rPr>
        <w:drawing>
          <wp:anchor distT="0" distB="0" distL="114300" distR="114300" simplePos="0" relativeHeight="251659264" behindDoc="1" locked="0" layoutInCell="1" allowOverlap="1">
            <wp:simplePos x="0" y="0"/>
            <wp:positionH relativeFrom="column">
              <wp:posOffset>99695</wp:posOffset>
            </wp:positionH>
            <wp:positionV relativeFrom="paragraph">
              <wp:posOffset>408940</wp:posOffset>
            </wp:positionV>
            <wp:extent cx="5274310" cy="5274310"/>
            <wp:effectExtent l="0" t="0" r="0" b="0"/>
            <wp:wrapNone/>
            <wp:docPr id="4004544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54480" name="图片 2"/>
                    <pic:cNvPicPr>
                      <a:picLocks noChangeAspect="1"/>
                    </pic:cNvPicPr>
                  </pic:nvPicPr>
                  <pic:blipFill>
                    <a:blip r:embed="rId7" cstate="print">
                      <a:alphaModFix amt="61000"/>
                      <a:extLst>
                        <a:ext uri="{28A0092B-C50C-407E-A947-70E740481C1C}">
                          <a14:useLocalDpi xmlns:a14="http://schemas.microsoft.com/office/drawing/2010/main" val="0"/>
                        </a:ext>
                      </a:extLst>
                    </a:blip>
                    <a:stretch>
                      <a:fillRect/>
                    </a:stretch>
                  </pic:blipFill>
                  <pic:spPr>
                    <a:xfrm>
                      <a:off x="0" y="0"/>
                      <a:ext cx="5274310" cy="5274310"/>
                    </a:xfrm>
                    <a:prstGeom prst="rect">
                      <a:avLst/>
                    </a:prstGeom>
                    <a:effectLst>
                      <a:outerShdw blurRad="50800" dist="38100" dir="2700000" algn="tl" rotWithShape="0">
                        <a:prstClr val="black">
                          <a:alpha val="40000"/>
                        </a:prstClr>
                      </a:outerShdw>
                      <a:softEdge rad="0"/>
                    </a:effectLst>
                  </pic:spPr>
                </pic:pic>
              </a:graphicData>
            </a:graphic>
          </wp:anchor>
        </w:drawing>
      </w:r>
      <w:r>
        <w:rPr>
          <w:rFonts w:hint="eastAsia" w:ascii="宋体" w:hAnsi="宋体" w:eastAsia="宋体"/>
          <w:b/>
          <w:bCs/>
          <w:sz w:val="32"/>
          <w:szCs w:val="32"/>
          <w:lang w:val="en-US" w:eastAsia="zh-CN"/>
        </w:rPr>
        <w:t>射频CO2打标机</w:t>
      </w:r>
      <w:r>
        <w:rPr>
          <w:rFonts w:ascii="宋体" w:hAnsi="宋体" w:eastAsia="宋体"/>
          <w:b/>
          <w:bCs/>
          <w:sz w:val="32"/>
          <w:szCs w:val="32"/>
        </w:rPr>
        <w:t xml:space="preserve"> </w:t>
      </w:r>
      <w:r>
        <w:rPr>
          <w:rFonts w:hint="eastAsia" w:ascii="宋体" w:hAnsi="宋体" w:eastAsia="宋体"/>
          <w:b/>
          <w:bCs/>
          <w:sz w:val="32"/>
          <w:szCs w:val="32"/>
          <w:lang w:val="en-US" w:eastAsia="zh-CN"/>
        </w:rPr>
        <w:t>紫外打标机</w:t>
      </w:r>
    </w:p>
    <w:p w14:paraId="5CB3EE15">
      <w:pPr>
        <w:rPr>
          <w:rFonts w:hint="default" w:ascii="宋体" w:hAnsi="宋体" w:eastAsia="宋体"/>
          <w:b/>
          <w:bCs/>
          <w:sz w:val="24"/>
          <w:lang w:val="en-US" w:eastAsia="zh-CN"/>
        </w:rPr>
      </w:pPr>
      <w:r>
        <w:rPr>
          <w:rFonts w:hint="eastAsia" w:ascii="宋体" w:hAnsi="宋体" w:eastAsia="宋体"/>
          <w:b/>
          <w:bCs/>
          <w:sz w:val="24"/>
          <w:lang w:val="en-US" w:eastAsia="zh-CN"/>
        </w:rPr>
        <w:t>射频CO2打标机</w:t>
      </w:r>
    </w:p>
    <w:p w14:paraId="43A47D00">
      <w:pPr>
        <w:rPr>
          <w:rFonts w:ascii="宋体" w:hAnsi="宋体" w:eastAsia="宋体"/>
          <w:sz w:val="24"/>
        </w:rPr>
      </w:pPr>
      <w:r>
        <w:rPr>
          <w:rFonts w:hint="eastAsia" w:ascii="宋体" w:hAnsi="宋体" w:eastAsia="宋体"/>
          <w:sz w:val="24"/>
        </w:rPr>
        <w:t>产品详情：</w:t>
      </w:r>
    </w:p>
    <w:p w14:paraId="6211A26A">
      <w:pPr>
        <w:pStyle w:val="32"/>
        <w:numPr>
          <w:ilvl w:val="0"/>
          <w:numId w:val="0"/>
        </w:numPr>
        <w:ind w:leftChars="0" w:firstLine="480" w:firstLineChars="200"/>
        <w:rPr>
          <w:rFonts w:hint="eastAsia" w:ascii="宋体" w:hAnsi="宋体" w:eastAsia="宋体"/>
          <w:sz w:val="24"/>
        </w:rPr>
      </w:pPr>
      <w:r>
        <w:rPr>
          <w:rFonts w:hint="eastAsia" w:ascii="宋体" w:hAnsi="宋体" w:eastAsia="宋体"/>
          <w:sz w:val="24"/>
        </w:rPr>
        <w:t>用 CO2 气体作为激光光源,打标精度高、速度快雕刻深浅随意控制，激光功率大，能适用于多种非金属产品进行雕刻及切割。无耗材、加工成本低，标记清晰，雕刻及切割效率高、环保、节能。红外激光光束质量分析</w:t>
      </w:r>
    </w:p>
    <w:p w14:paraId="27CBE24B">
      <w:pPr>
        <w:rPr>
          <w:rFonts w:hint="eastAsia" w:ascii="宋体" w:hAnsi="宋体" w:eastAsia="宋体"/>
          <w:sz w:val="24"/>
        </w:rPr>
      </w:pPr>
      <w:r>
        <w:rPr>
          <w:rFonts w:hint="eastAsia" w:ascii="宋体" w:hAnsi="宋体" w:eastAsia="宋体"/>
          <w:sz w:val="24"/>
          <w:lang w:val="en-US" w:eastAsia="zh-CN"/>
        </w:rPr>
        <w:t>适用材料</w:t>
      </w:r>
      <w:r>
        <w:rPr>
          <w:rFonts w:hint="eastAsia" w:ascii="宋体" w:hAnsi="宋体" w:eastAsia="宋体"/>
          <w:sz w:val="24"/>
        </w:rPr>
        <w:t>：</w:t>
      </w:r>
    </w:p>
    <w:p w14:paraId="50D7DBB4">
      <w:pPr>
        <w:ind w:firstLine="480" w:firstLineChars="200"/>
        <w:rPr>
          <w:rFonts w:hint="eastAsia" w:ascii="宋体" w:hAnsi="宋体" w:eastAsia="宋体"/>
          <w:sz w:val="24"/>
        </w:rPr>
      </w:pPr>
      <w:r>
        <w:rPr>
          <w:rFonts w:hint="eastAsia" w:ascii="宋体" w:hAnsi="宋体" w:eastAsia="宋体"/>
          <w:sz w:val="24"/>
        </w:rPr>
        <w:t>各种非金属材料和产品的打标、雕刻、镂空、切刻。可进行各种文字、符号、图形、图像、条码、序列号等的打标、雕刻、镂空、切割</w:t>
      </w:r>
    </w:p>
    <w:p w14:paraId="1EBA1965">
      <w:pPr>
        <w:rPr>
          <w:rFonts w:ascii="宋体" w:hAnsi="宋体" w:eastAsia="宋体"/>
          <w:sz w:val="24"/>
        </w:rPr>
      </w:pPr>
      <w:r>
        <w:rPr>
          <w:rFonts w:hint="eastAsia" w:ascii="宋体" w:hAnsi="宋体" w:eastAsia="宋体"/>
          <w:sz w:val="24"/>
        </w:rPr>
        <w:t>参数详情：</w:t>
      </w:r>
      <w:r>
        <w:rPr>
          <w:rFonts w:ascii="宋体" w:hAnsi="宋体" w:eastAsia="宋体"/>
          <w:sz w:val="24"/>
        </w:rPr>
        <w:t xml:space="preserve"> </w:t>
      </w:r>
    </w:p>
    <w:tbl>
      <w:tblPr>
        <w:tblStyle w:val="42"/>
        <w:tblW w:w="0" w:type="auto"/>
        <w:jc w:val="cente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Layout w:type="autofit"/>
        <w:tblCellMar>
          <w:top w:w="0" w:type="dxa"/>
          <w:left w:w="108" w:type="dxa"/>
          <w:bottom w:w="0" w:type="dxa"/>
          <w:right w:w="108" w:type="dxa"/>
        </w:tblCellMar>
      </w:tblPr>
      <w:tblGrid>
        <w:gridCol w:w="3484"/>
        <w:gridCol w:w="4812"/>
      </w:tblGrid>
      <w:tr w14:paraId="7E0AD334">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tcBorders>
              <w:top w:val="single" w:color="E97132" w:themeColor="accent2" w:sz="4" w:space="0"/>
              <w:left w:val="single" w:color="E97132" w:themeColor="accent2" w:sz="4" w:space="0"/>
              <w:bottom w:val="single" w:color="E97132" w:themeColor="accent2" w:sz="4" w:space="0"/>
              <w:right w:val="nil"/>
              <w:insideH w:val="single" w:sz="4" w:space="0"/>
              <w:insideV w:val="nil"/>
            </w:tcBorders>
            <w:shd w:val="clear" w:color="auto" w:fill="E97132" w:themeFill="accent2"/>
          </w:tcPr>
          <w:p w14:paraId="66750651">
            <w:pPr>
              <w:spacing w:after="0" w:line="240" w:lineRule="auto"/>
              <w:jc w:val="center"/>
              <w:rPr>
                <w:rFonts w:hint="eastAsia" w:ascii="宋体" w:hAnsi="宋体" w:eastAsia="宋体"/>
                <w:b/>
                <w:bCs/>
                <w:color w:val="FFFFFF" w:themeColor="background1"/>
                <w:sz w:val="24"/>
                <w:lang w:eastAsia="zh-CN"/>
                <w14:textFill>
                  <w14:solidFill>
                    <w14:schemeClr w14:val="bg1"/>
                  </w14:solidFill>
                </w14:textFill>
              </w:rPr>
            </w:pPr>
            <w:r>
              <w:rPr>
                <w:rFonts w:hint="eastAsia" w:ascii="宋体" w:hAnsi="宋体" w:eastAsia="宋体"/>
                <w:b/>
                <w:bCs/>
                <w:color w:val="FFFFFF" w:themeColor="background1"/>
                <w:sz w:val="24"/>
                <w:lang w:val="en-US" w:eastAsia="zh-CN"/>
                <w14:textFill>
                  <w14:solidFill>
                    <w14:schemeClr w14:val="bg1"/>
                  </w14:solidFill>
                </w14:textFill>
              </w:rPr>
              <w:t>激光功率</w:t>
            </w:r>
          </w:p>
        </w:tc>
        <w:tc>
          <w:tcPr>
            <w:tcW w:w="4148" w:type="dxa"/>
            <w:tcBorders>
              <w:top w:val="single" w:color="E97132" w:themeColor="accent2" w:sz="4" w:space="0"/>
              <w:bottom w:val="single" w:color="E97132" w:themeColor="accent2" w:sz="4" w:space="0"/>
              <w:right w:val="single" w:color="E97132" w:themeColor="accent2" w:sz="4" w:space="0"/>
              <w:insideH w:val="single" w:sz="4" w:space="0"/>
              <w:insideV w:val="nil"/>
            </w:tcBorders>
            <w:shd w:val="clear" w:color="auto" w:fill="E97132" w:themeFill="accent2"/>
          </w:tcPr>
          <w:p w14:paraId="32804604">
            <w:pPr>
              <w:spacing w:after="0" w:line="240" w:lineRule="auto"/>
              <w:jc w:val="center"/>
              <w:rPr>
                <w:rFonts w:hint="eastAsia" w:ascii="宋体" w:hAnsi="宋体" w:eastAsia="宋体"/>
                <w:b/>
                <w:bCs/>
                <w:color w:val="FFFFFF" w:themeColor="background1"/>
                <w:sz w:val="24"/>
                <w14:textFill>
                  <w14:solidFill>
                    <w14:schemeClr w14:val="bg1"/>
                  </w14:solidFill>
                </w14:textFill>
              </w:rPr>
            </w:pPr>
            <w:r>
              <w:rPr>
                <w:rFonts w:hint="eastAsia" w:ascii="宋体" w:hAnsi="宋体" w:eastAsia="宋体"/>
                <w:b/>
                <w:bCs/>
                <w:color w:val="FFFFFF" w:themeColor="background1"/>
                <w:sz w:val="24"/>
                <w14:textFill>
                  <w14:solidFill>
                    <w14:schemeClr w14:val="bg1"/>
                  </w14:solidFill>
                </w14:textFill>
              </w:rPr>
              <w:t>20/30/50/60/80/100120/150/200/300/500W</w:t>
            </w:r>
          </w:p>
        </w:tc>
      </w:tr>
      <w:tr w14:paraId="153213B1">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shd w:val="clear" w:color="auto" w:fill="FAE2D5" w:themeFill="accent2" w:themeFillTint="33"/>
          </w:tcPr>
          <w:p w14:paraId="0055643C">
            <w:pPr>
              <w:spacing w:after="0" w:line="240" w:lineRule="auto"/>
              <w:jc w:val="center"/>
              <w:rPr>
                <w:rFonts w:hint="eastAsia" w:ascii="宋体" w:hAnsi="宋体" w:eastAsia="宋体"/>
                <w:b w:val="0"/>
                <w:bCs w:val="0"/>
                <w:sz w:val="24"/>
                <w:lang w:eastAsia="zh-CN"/>
              </w:rPr>
            </w:pPr>
            <w:r>
              <w:rPr>
                <w:rFonts w:hint="eastAsia" w:ascii="宋体" w:hAnsi="宋体" w:eastAsia="宋体"/>
                <w:b w:val="0"/>
                <w:bCs w:val="0"/>
                <w:sz w:val="24"/>
                <w:lang w:val="en-US" w:eastAsia="zh-CN"/>
              </w:rPr>
              <w:t>激光波长</w:t>
            </w:r>
          </w:p>
        </w:tc>
        <w:tc>
          <w:tcPr>
            <w:tcW w:w="4148" w:type="dxa"/>
            <w:shd w:val="clear" w:color="auto" w:fill="FAE2D5" w:themeFill="accent2" w:themeFillTint="33"/>
          </w:tcPr>
          <w:p w14:paraId="66F30C77">
            <w:pPr>
              <w:spacing w:after="0" w:line="240" w:lineRule="auto"/>
              <w:jc w:val="center"/>
              <w:rPr>
                <w:rFonts w:hint="eastAsia" w:ascii="宋体" w:hAnsi="宋体" w:eastAsia="宋体"/>
                <w:sz w:val="24"/>
              </w:rPr>
            </w:pPr>
            <w:r>
              <w:rPr>
                <w:rFonts w:hint="eastAsia" w:ascii="宋体" w:hAnsi="宋体" w:eastAsia="宋体"/>
                <w:sz w:val="24"/>
              </w:rPr>
              <w:t>9.3um/10.6um</w:t>
            </w:r>
          </w:p>
        </w:tc>
      </w:tr>
      <w:tr w14:paraId="00BAF548">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tcPr>
          <w:p w14:paraId="3D2A22BA">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频率范围</w:t>
            </w:r>
          </w:p>
        </w:tc>
        <w:tc>
          <w:tcPr>
            <w:tcW w:w="4148" w:type="dxa"/>
          </w:tcPr>
          <w:p w14:paraId="1483009B">
            <w:pPr>
              <w:spacing w:after="0" w:line="240" w:lineRule="auto"/>
              <w:jc w:val="center"/>
              <w:rPr>
                <w:rFonts w:hint="eastAsia" w:ascii="宋体" w:hAnsi="宋体" w:eastAsia="宋体"/>
                <w:sz w:val="24"/>
              </w:rPr>
            </w:pPr>
            <w:r>
              <w:rPr>
                <w:rFonts w:hint="eastAsia" w:ascii="宋体" w:hAnsi="宋体" w:eastAsia="宋体"/>
                <w:sz w:val="24"/>
              </w:rPr>
              <w:t>0-25KHz</w:t>
            </w:r>
          </w:p>
        </w:tc>
      </w:tr>
      <w:tr w14:paraId="1613484F">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shd w:val="clear" w:color="auto" w:fill="FAE2D5" w:themeFill="accent2" w:themeFillTint="33"/>
          </w:tcPr>
          <w:p w14:paraId="1F607CC3">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雕刻范围</w:t>
            </w:r>
          </w:p>
        </w:tc>
        <w:tc>
          <w:tcPr>
            <w:tcW w:w="4148" w:type="dxa"/>
            <w:shd w:val="clear" w:color="auto" w:fill="FAE2D5" w:themeFill="accent2" w:themeFillTint="33"/>
          </w:tcPr>
          <w:p w14:paraId="539F01C2">
            <w:pPr>
              <w:spacing w:after="0" w:line="240" w:lineRule="auto"/>
              <w:jc w:val="center"/>
              <w:rPr>
                <w:rFonts w:hint="eastAsia" w:ascii="宋体" w:hAnsi="宋体" w:eastAsia="宋体"/>
                <w:sz w:val="24"/>
              </w:rPr>
            </w:pPr>
            <w:r>
              <w:rPr>
                <w:rFonts w:hint="eastAsia" w:ascii="宋体" w:hAnsi="宋体" w:eastAsia="宋体"/>
                <w:sz w:val="24"/>
              </w:rPr>
              <w:t>150mmx150mm(可选配)</w:t>
            </w:r>
          </w:p>
        </w:tc>
      </w:tr>
      <w:tr w14:paraId="6BEE8292">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tcPr>
          <w:p w14:paraId="7CC9ABCD">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打标速度</w:t>
            </w:r>
          </w:p>
        </w:tc>
        <w:tc>
          <w:tcPr>
            <w:tcW w:w="4148" w:type="dxa"/>
          </w:tcPr>
          <w:p w14:paraId="5FD0E503">
            <w:pPr>
              <w:spacing w:after="0" w:line="240" w:lineRule="auto"/>
              <w:jc w:val="center"/>
              <w:rPr>
                <w:rFonts w:hint="eastAsia" w:ascii="宋体" w:hAnsi="宋体" w:eastAsia="宋体"/>
                <w:sz w:val="24"/>
              </w:rPr>
            </w:pPr>
            <w:r>
              <w:rPr>
                <w:rFonts w:hint="eastAsia" w:ascii="宋体" w:hAnsi="宋体" w:eastAsia="宋体"/>
                <w:sz w:val="24"/>
              </w:rPr>
              <w:t>&lt;7000mm/s</w:t>
            </w:r>
          </w:p>
        </w:tc>
      </w:tr>
      <w:tr w14:paraId="03DD0DD3">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shd w:val="clear" w:color="auto" w:fill="FAE2D5" w:themeFill="accent2" w:themeFillTint="33"/>
          </w:tcPr>
          <w:p w14:paraId="38141D1E">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最小线宽</w:t>
            </w:r>
          </w:p>
        </w:tc>
        <w:tc>
          <w:tcPr>
            <w:tcW w:w="4148" w:type="dxa"/>
            <w:shd w:val="clear" w:color="auto" w:fill="FAE2D5" w:themeFill="accent2" w:themeFillTint="33"/>
          </w:tcPr>
          <w:p w14:paraId="76ADC7F6">
            <w:pPr>
              <w:spacing w:after="0" w:line="240" w:lineRule="auto"/>
              <w:jc w:val="center"/>
              <w:rPr>
                <w:rFonts w:hint="eastAsia" w:ascii="宋体" w:hAnsi="宋体" w:eastAsia="宋体"/>
                <w:sz w:val="24"/>
              </w:rPr>
            </w:pPr>
            <w:r>
              <w:rPr>
                <w:rFonts w:hint="eastAsia" w:ascii="宋体" w:hAnsi="宋体" w:eastAsia="宋体"/>
                <w:sz w:val="24"/>
              </w:rPr>
              <w:t>0.2mm</w:t>
            </w:r>
          </w:p>
        </w:tc>
      </w:tr>
      <w:tr w14:paraId="3212C5B4">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tcPr>
          <w:p w14:paraId="7AB9430A">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最小字符</w:t>
            </w:r>
          </w:p>
        </w:tc>
        <w:tc>
          <w:tcPr>
            <w:tcW w:w="4148" w:type="dxa"/>
          </w:tcPr>
          <w:p w14:paraId="304DC1DB">
            <w:pPr>
              <w:spacing w:after="0" w:line="240" w:lineRule="auto"/>
              <w:jc w:val="center"/>
              <w:rPr>
                <w:rFonts w:hint="eastAsia" w:ascii="宋体" w:hAnsi="宋体" w:eastAsia="宋体"/>
                <w:sz w:val="24"/>
              </w:rPr>
            </w:pPr>
            <w:r>
              <w:rPr>
                <w:rFonts w:hint="eastAsia" w:ascii="宋体" w:hAnsi="宋体" w:eastAsia="宋体"/>
                <w:sz w:val="24"/>
              </w:rPr>
              <w:t>0.5mm</w:t>
            </w:r>
          </w:p>
        </w:tc>
      </w:tr>
      <w:tr w14:paraId="75C1847C">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shd w:val="clear" w:color="auto" w:fill="FAE2D5" w:themeFill="accent2" w:themeFillTint="33"/>
          </w:tcPr>
          <w:p w14:paraId="6EFE2084">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重复精度</w:t>
            </w:r>
          </w:p>
        </w:tc>
        <w:tc>
          <w:tcPr>
            <w:tcW w:w="4148" w:type="dxa"/>
            <w:shd w:val="clear" w:color="auto" w:fill="FAE2D5" w:themeFill="accent2" w:themeFillTint="33"/>
          </w:tcPr>
          <w:p w14:paraId="2632610A">
            <w:pPr>
              <w:spacing w:after="0" w:line="240" w:lineRule="auto"/>
              <w:jc w:val="center"/>
              <w:rPr>
                <w:rFonts w:hint="eastAsia" w:ascii="宋体" w:hAnsi="宋体" w:eastAsia="宋体"/>
                <w:sz w:val="24"/>
              </w:rPr>
            </w:pPr>
            <w:r>
              <w:rPr>
                <w:rFonts w:hint="eastAsia" w:ascii="宋体" w:hAnsi="宋体" w:eastAsia="宋体"/>
                <w:sz w:val="24"/>
              </w:rPr>
              <w:t>士0.01mm</w:t>
            </w:r>
          </w:p>
        </w:tc>
      </w:tr>
      <w:tr w14:paraId="21B82E6F">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tcPr>
          <w:p w14:paraId="3A1C7153">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工作电源</w:t>
            </w:r>
          </w:p>
        </w:tc>
        <w:tc>
          <w:tcPr>
            <w:tcW w:w="4148" w:type="dxa"/>
          </w:tcPr>
          <w:p w14:paraId="70344E99">
            <w:pPr>
              <w:spacing w:after="0" w:line="240" w:lineRule="auto"/>
              <w:jc w:val="center"/>
              <w:rPr>
                <w:rFonts w:hint="eastAsia" w:ascii="宋体" w:hAnsi="宋体" w:eastAsia="宋体"/>
                <w:sz w:val="24"/>
              </w:rPr>
            </w:pPr>
            <w:r>
              <w:rPr>
                <w:rFonts w:hint="eastAsia" w:ascii="宋体" w:hAnsi="宋体" w:eastAsia="宋体"/>
                <w:sz w:val="24"/>
              </w:rPr>
              <w:t>AC220V/50Hz</w:t>
            </w:r>
          </w:p>
        </w:tc>
      </w:tr>
      <w:tr w14:paraId="2E5A6C5C">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trHeight w:val="289" w:hRule="atLeast"/>
          <w:jc w:val="center"/>
        </w:trPr>
        <w:tc>
          <w:tcPr>
            <w:tcW w:w="4148" w:type="dxa"/>
            <w:shd w:val="clear" w:color="auto" w:fill="FAE2D5" w:themeFill="accent2" w:themeFillTint="33"/>
          </w:tcPr>
          <w:p w14:paraId="683B01FD">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冷却方式</w:t>
            </w:r>
          </w:p>
        </w:tc>
        <w:tc>
          <w:tcPr>
            <w:tcW w:w="4148" w:type="dxa"/>
            <w:shd w:val="clear" w:color="auto" w:fill="FAE2D5" w:themeFill="accent2" w:themeFillTint="33"/>
          </w:tcPr>
          <w:p w14:paraId="3AC839B3">
            <w:pPr>
              <w:spacing w:after="0" w:line="240" w:lineRule="auto"/>
              <w:jc w:val="center"/>
              <w:rPr>
                <w:rFonts w:hint="eastAsia" w:ascii="宋体" w:hAnsi="宋体" w:eastAsia="宋体"/>
                <w:sz w:val="24"/>
              </w:rPr>
            </w:pPr>
            <w:r>
              <w:rPr>
                <w:rFonts w:hint="eastAsia" w:ascii="宋体" w:hAnsi="宋体" w:eastAsia="宋体"/>
                <w:sz w:val="24"/>
              </w:rPr>
              <w:t>风冷(50W 以下)/水冷(100W以上)</w:t>
            </w:r>
          </w:p>
        </w:tc>
      </w:tr>
      <w:tr w14:paraId="3DAF960A">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4148" w:type="dxa"/>
          </w:tcPr>
          <w:p w14:paraId="22304B57">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机器尺寸</w:t>
            </w:r>
          </w:p>
        </w:tc>
        <w:tc>
          <w:tcPr>
            <w:tcW w:w="4148" w:type="dxa"/>
          </w:tcPr>
          <w:p w14:paraId="31C7164F">
            <w:pPr>
              <w:spacing w:after="0" w:line="240" w:lineRule="auto"/>
              <w:jc w:val="center"/>
              <w:rPr>
                <w:rFonts w:hint="eastAsia" w:ascii="宋体" w:hAnsi="宋体" w:eastAsia="宋体"/>
                <w:sz w:val="24"/>
              </w:rPr>
            </w:pPr>
            <w:r>
              <w:rPr>
                <w:rFonts w:hint="eastAsia" w:ascii="宋体" w:hAnsi="宋体" w:eastAsia="宋体"/>
                <w:sz w:val="24"/>
              </w:rPr>
              <w:t>790mm*600mm*1435mm</w:t>
            </w:r>
          </w:p>
        </w:tc>
      </w:tr>
    </w:tbl>
    <w:p w14:paraId="0C05925B">
      <w:pPr>
        <w:rPr>
          <w:rFonts w:hint="eastAsia" w:ascii="宋体" w:hAnsi="宋体" w:eastAsia="宋体"/>
          <w:sz w:val="24"/>
        </w:rPr>
      </w:pPr>
    </w:p>
    <w:p w14:paraId="1BB61573">
      <w:pPr>
        <w:rPr>
          <w:rFonts w:hint="default" w:ascii="宋体" w:hAnsi="宋体" w:eastAsia="宋体"/>
          <w:b/>
          <w:bCs/>
          <w:sz w:val="24"/>
          <w:lang w:val="en-US" w:eastAsia="zh-CN"/>
        </w:rPr>
      </w:pPr>
      <w:bookmarkStart w:id="0" w:name="_GoBack"/>
      <w:r>
        <w:rPr>
          <w:rFonts w:hint="eastAsia" w:ascii="宋体" w:hAnsi="宋体" w:eastAsia="宋体"/>
          <w:b/>
          <w:bCs/>
          <w:sz w:val="24"/>
          <w:lang w:val="en-US" w:eastAsia="zh-CN"/>
        </w:rPr>
        <w:t>紫外打标机</w:t>
      </w:r>
    </w:p>
    <w:bookmarkEnd w:id="0"/>
    <w:p w14:paraId="0AFD6295">
      <w:pPr>
        <w:rPr>
          <w:rFonts w:ascii="宋体" w:hAnsi="宋体" w:eastAsia="宋体"/>
          <w:sz w:val="24"/>
        </w:rPr>
      </w:pPr>
      <w:r>
        <w:rPr>
          <w:rFonts w:hint="eastAsia" w:ascii="宋体" w:hAnsi="宋体" w:eastAsia="宋体"/>
          <w:sz w:val="24"/>
        </w:rPr>
        <w:t>产品详情：</w:t>
      </w:r>
    </w:p>
    <w:p w14:paraId="4AA7466C">
      <w:pPr>
        <w:pStyle w:val="32"/>
        <w:numPr>
          <w:ilvl w:val="0"/>
          <w:numId w:val="0"/>
        </w:numPr>
        <w:ind w:leftChars="0" w:firstLine="480" w:firstLineChars="200"/>
        <w:rPr>
          <w:rFonts w:hint="eastAsia" w:ascii="宋体" w:hAnsi="宋体" w:eastAsia="宋体"/>
          <w:sz w:val="24"/>
        </w:rPr>
      </w:pPr>
      <w:r>
        <w:rPr>
          <w:rFonts w:hint="eastAsia" w:ascii="宋体" w:hAnsi="宋体" w:eastAsia="宋体"/>
          <w:sz w:val="24"/>
        </w:rPr>
        <w:t>紫外激光打标机采用 355nm 的紫外激光器研发而成，该机采用的三阶腔内倍频技术同红外激光比较打标效应通过短波长激光直接打断物质的分子链大程度上降低材料的机械变形，虽受热变但属冷光</w:t>
      </w:r>
    </w:p>
    <w:p w14:paraId="7AEF62D5">
      <w:pPr>
        <w:rPr>
          <w:rFonts w:hint="eastAsia" w:ascii="宋体" w:hAnsi="宋体" w:eastAsia="宋体"/>
          <w:sz w:val="24"/>
        </w:rPr>
      </w:pPr>
      <w:r>
        <w:rPr>
          <w:rFonts w:hint="eastAsia" w:ascii="宋体" w:hAnsi="宋体" w:eastAsia="宋体"/>
          <w:sz w:val="24"/>
          <w:lang w:val="en-US" w:eastAsia="zh-CN"/>
        </w:rPr>
        <w:t>适用材料</w:t>
      </w:r>
      <w:r>
        <w:rPr>
          <w:rFonts w:hint="eastAsia" w:ascii="宋体" w:hAnsi="宋体" w:eastAsia="宋体"/>
          <w:sz w:val="24"/>
        </w:rPr>
        <w:t>：</w:t>
      </w:r>
    </w:p>
    <w:p w14:paraId="74995698">
      <w:pPr>
        <w:ind w:firstLine="480" w:firstLineChars="200"/>
        <w:rPr>
          <w:rFonts w:hint="eastAsia" w:ascii="宋体" w:hAnsi="宋体" w:eastAsia="宋体"/>
          <w:sz w:val="24"/>
        </w:rPr>
      </w:pPr>
      <w:r>
        <w:rPr>
          <w:rFonts w:hint="eastAsia" w:ascii="宋体" w:hAnsi="宋体" w:eastAsia="宋体"/>
          <w:sz w:val="24"/>
        </w:rPr>
        <w:t>主要用于超精细打标、雕刻，特别适合用于食品、医药包装材料(如:塑料)的打标、打微孔，玻璃、瓷器材料的高速划分及对硅片晶圆进行复杂的图形切割等</w:t>
      </w:r>
    </w:p>
    <w:p w14:paraId="6FE8C2FE">
      <w:pPr>
        <w:rPr>
          <w:rFonts w:ascii="宋体" w:hAnsi="宋体" w:eastAsia="宋体"/>
          <w:sz w:val="24"/>
        </w:rPr>
      </w:pPr>
      <w:r>
        <w:rPr>
          <w:rFonts w:hint="eastAsia" w:ascii="宋体" w:hAnsi="宋体" w:eastAsia="宋体"/>
          <w:sz w:val="24"/>
        </w:rPr>
        <w:t>参数详情：</w:t>
      </w:r>
      <w:r>
        <w:rPr>
          <w:rFonts w:ascii="宋体" w:hAnsi="宋体" w:eastAsia="宋体"/>
          <w:sz w:val="24"/>
        </w:rPr>
        <w:t xml:space="preserve"> </w:t>
      </w:r>
    </w:p>
    <w:tbl>
      <w:tblPr>
        <w:tblStyle w:val="42"/>
        <w:tblW w:w="0" w:type="auto"/>
        <w:jc w:val="cente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Layout w:type="autofit"/>
        <w:tblCellMar>
          <w:top w:w="0" w:type="dxa"/>
          <w:left w:w="108" w:type="dxa"/>
          <w:bottom w:w="0" w:type="dxa"/>
          <w:right w:w="108" w:type="dxa"/>
        </w:tblCellMar>
      </w:tblPr>
      <w:tblGrid>
        <w:gridCol w:w="3484"/>
        <w:gridCol w:w="4812"/>
      </w:tblGrid>
      <w:tr w14:paraId="76CE30EB">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tcBorders>
              <w:top w:val="single" w:color="E97132" w:themeColor="accent2" w:sz="4" w:space="0"/>
              <w:left w:val="single" w:color="E97132" w:themeColor="accent2" w:sz="4" w:space="0"/>
              <w:bottom w:val="single" w:color="E97132" w:themeColor="accent2" w:sz="4" w:space="0"/>
              <w:right w:val="nil"/>
              <w:insideH w:val="single" w:sz="4" w:space="0"/>
              <w:insideV w:val="nil"/>
            </w:tcBorders>
            <w:shd w:val="clear" w:color="auto" w:fill="E97132" w:themeFill="accent2"/>
          </w:tcPr>
          <w:p w14:paraId="592A4CA5">
            <w:pPr>
              <w:spacing w:after="0" w:line="240" w:lineRule="auto"/>
              <w:jc w:val="center"/>
              <w:rPr>
                <w:rFonts w:hint="eastAsia" w:ascii="宋体" w:hAnsi="宋体" w:eastAsia="宋体"/>
                <w:b/>
                <w:bCs/>
                <w:color w:val="FFFFFF" w:themeColor="background1"/>
                <w:sz w:val="24"/>
                <w:lang w:eastAsia="zh-CN"/>
                <w14:textFill>
                  <w14:solidFill>
                    <w14:schemeClr w14:val="bg1"/>
                  </w14:solidFill>
                </w14:textFill>
              </w:rPr>
            </w:pPr>
            <w:r>
              <w:rPr>
                <w:rFonts w:hint="eastAsia" w:ascii="宋体" w:hAnsi="宋体" w:eastAsia="宋体"/>
                <w:b/>
                <w:bCs/>
                <w:color w:val="FFFFFF" w:themeColor="background1"/>
                <w:sz w:val="24"/>
                <w:lang w:val="en-US" w:eastAsia="zh-CN"/>
                <w14:textFill>
                  <w14:solidFill>
                    <w14:schemeClr w14:val="bg1"/>
                  </w14:solidFill>
                </w14:textFill>
              </w:rPr>
              <w:t>激光功率</w:t>
            </w:r>
          </w:p>
        </w:tc>
        <w:tc>
          <w:tcPr>
            <w:tcW w:w="4812" w:type="dxa"/>
            <w:tcBorders>
              <w:top w:val="single" w:color="E97132" w:themeColor="accent2" w:sz="4" w:space="0"/>
              <w:bottom w:val="single" w:color="E97132" w:themeColor="accent2" w:sz="4" w:space="0"/>
              <w:right w:val="single" w:color="E97132" w:themeColor="accent2" w:sz="4" w:space="0"/>
              <w:insideH w:val="single" w:sz="4" w:space="0"/>
              <w:insideV w:val="nil"/>
            </w:tcBorders>
            <w:shd w:val="clear" w:color="auto" w:fill="E97132" w:themeFill="accent2"/>
          </w:tcPr>
          <w:p w14:paraId="5FF67BDA">
            <w:pPr>
              <w:spacing w:after="0" w:line="240" w:lineRule="auto"/>
              <w:jc w:val="center"/>
              <w:rPr>
                <w:rFonts w:hint="eastAsia" w:ascii="宋体" w:hAnsi="宋体" w:eastAsia="宋体"/>
                <w:b/>
                <w:bCs/>
                <w:color w:val="FFFFFF" w:themeColor="background1"/>
                <w:sz w:val="24"/>
                <w14:textFill>
                  <w14:solidFill>
                    <w14:schemeClr w14:val="bg1"/>
                  </w14:solidFill>
                </w14:textFill>
              </w:rPr>
            </w:pPr>
            <w:r>
              <w:rPr>
                <w:rFonts w:hint="eastAsia" w:ascii="宋体" w:hAnsi="宋体" w:eastAsia="宋体"/>
                <w:b/>
                <w:bCs/>
                <w:color w:val="FFFFFF" w:themeColor="background1"/>
                <w:sz w:val="24"/>
                <w14:textFill>
                  <w14:solidFill>
                    <w14:schemeClr w14:val="bg1"/>
                  </w14:solidFill>
                </w14:textFill>
              </w:rPr>
              <w:t>3/5/10/15/25W</w:t>
            </w:r>
          </w:p>
        </w:tc>
      </w:tr>
      <w:tr w14:paraId="3DF0D809">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FAE2D5" w:themeFill="accent2" w:themeFillTint="33"/>
          </w:tcPr>
          <w:p w14:paraId="64CF6DEA">
            <w:pPr>
              <w:spacing w:after="0" w:line="240" w:lineRule="auto"/>
              <w:jc w:val="center"/>
              <w:rPr>
                <w:rFonts w:hint="eastAsia" w:ascii="宋体" w:hAnsi="宋体" w:eastAsia="宋体"/>
                <w:b w:val="0"/>
                <w:bCs w:val="0"/>
                <w:sz w:val="24"/>
                <w:lang w:eastAsia="zh-CN"/>
              </w:rPr>
            </w:pPr>
            <w:r>
              <w:rPr>
                <w:rFonts w:hint="eastAsia" w:ascii="宋体" w:hAnsi="宋体" w:eastAsia="宋体"/>
                <w:b w:val="0"/>
                <w:bCs w:val="0"/>
                <w:sz w:val="24"/>
                <w:lang w:val="en-US" w:eastAsia="zh-CN"/>
              </w:rPr>
              <w:t>激光波长</w:t>
            </w:r>
          </w:p>
        </w:tc>
        <w:tc>
          <w:tcPr>
            <w:tcW w:w="4812" w:type="dxa"/>
            <w:shd w:val="clear" w:color="auto" w:fill="FAE2D5" w:themeFill="accent2" w:themeFillTint="33"/>
          </w:tcPr>
          <w:p w14:paraId="0E16DAF9">
            <w:pPr>
              <w:spacing w:after="0" w:line="240" w:lineRule="auto"/>
              <w:jc w:val="center"/>
              <w:rPr>
                <w:rFonts w:hint="eastAsia" w:ascii="宋体" w:hAnsi="宋体" w:eastAsia="宋体"/>
                <w:sz w:val="24"/>
              </w:rPr>
            </w:pPr>
            <w:r>
              <w:rPr>
                <w:rFonts w:hint="eastAsia" w:ascii="宋体" w:hAnsi="宋体" w:eastAsia="宋体"/>
                <w:sz w:val="24"/>
              </w:rPr>
              <w:t>355nm</w:t>
            </w:r>
          </w:p>
        </w:tc>
      </w:tr>
      <w:tr w14:paraId="73973B6C">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tcPr>
          <w:p w14:paraId="4E63B34A">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频率范围</w:t>
            </w:r>
          </w:p>
        </w:tc>
        <w:tc>
          <w:tcPr>
            <w:tcW w:w="4812" w:type="dxa"/>
          </w:tcPr>
          <w:p w14:paraId="2031190F">
            <w:pPr>
              <w:spacing w:after="0" w:line="240" w:lineRule="auto"/>
              <w:jc w:val="center"/>
              <w:rPr>
                <w:rFonts w:hint="eastAsia" w:ascii="宋体" w:hAnsi="宋体" w:eastAsia="宋体"/>
                <w:sz w:val="24"/>
              </w:rPr>
            </w:pPr>
            <w:r>
              <w:rPr>
                <w:rFonts w:hint="eastAsia" w:ascii="宋体" w:hAnsi="宋体" w:eastAsia="宋体"/>
                <w:sz w:val="24"/>
              </w:rPr>
              <w:t>20-200KHz</w:t>
            </w:r>
          </w:p>
        </w:tc>
      </w:tr>
      <w:tr w14:paraId="1605873E">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trHeight w:val="290" w:hRule="atLeast"/>
          <w:jc w:val="center"/>
        </w:trPr>
        <w:tc>
          <w:tcPr>
            <w:tcW w:w="3484" w:type="dxa"/>
            <w:shd w:val="clear" w:color="auto" w:fill="FAE2D5" w:themeFill="accent2" w:themeFillTint="33"/>
          </w:tcPr>
          <w:p w14:paraId="618B8F07">
            <w:pPr>
              <w:spacing w:after="0" w:line="240" w:lineRule="auto"/>
              <w:jc w:val="center"/>
              <w:rPr>
                <w:rFonts w:hint="eastAsia" w:ascii="宋体" w:hAnsi="宋体" w:eastAsia="宋体"/>
                <w:b w:val="0"/>
                <w:bCs w:val="0"/>
                <w:sz w:val="24"/>
              </w:rPr>
            </w:pPr>
            <w:r>
              <w:rPr>
                <w:rFonts w:hint="eastAsia" w:ascii="宋体" w:hAnsi="宋体" w:eastAsia="宋体"/>
                <w:b w:val="0"/>
                <w:bCs w:val="0"/>
                <w:sz w:val="24"/>
              </w:rPr>
              <w:t>脉宽范围</w:t>
            </w:r>
          </w:p>
        </w:tc>
        <w:tc>
          <w:tcPr>
            <w:tcW w:w="4812" w:type="dxa"/>
            <w:shd w:val="clear" w:color="auto" w:fill="FAE2D5" w:themeFill="accent2" w:themeFillTint="33"/>
          </w:tcPr>
          <w:p w14:paraId="740E7F8E">
            <w:pPr>
              <w:spacing w:after="0" w:line="240" w:lineRule="auto"/>
              <w:jc w:val="center"/>
              <w:rPr>
                <w:rFonts w:hint="eastAsia" w:ascii="宋体" w:hAnsi="宋体" w:eastAsia="宋体"/>
                <w:sz w:val="24"/>
              </w:rPr>
            </w:pPr>
            <w:r>
              <w:rPr>
                <w:rFonts w:hint="eastAsia" w:ascii="宋体" w:hAnsi="宋体" w:eastAsia="宋体"/>
                <w:sz w:val="24"/>
              </w:rPr>
              <w:t>&lt;15ns</w:t>
            </w:r>
          </w:p>
        </w:tc>
      </w:tr>
      <w:tr w14:paraId="413F7F90">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FAE2D5" w:themeFill="accent2" w:themeFillTint="33"/>
            <w:vAlign w:val="top"/>
          </w:tcPr>
          <w:p w14:paraId="19E5FCCC">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雕刻范围</w:t>
            </w:r>
          </w:p>
        </w:tc>
        <w:tc>
          <w:tcPr>
            <w:tcW w:w="4812" w:type="dxa"/>
            <w:shd w:val="clear" w:color="auto" w:fill="FAE2D5" w:themeFill="accent2" w:themeFillTint="33"/>
            <w:vAlign w:val="top"/>
          </w:tcPr>
          <w:p w14:paraId="573D3ECE">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150mmx150mm(可选配)</w:t>
            </w:r>
          </w:p>
        </w:tc>
      </w:tr>
      <w:tr w14:paraId="7CB16F8B">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auto"/>
            <w:vAlign w:val="top"/>
          </w:tcPr>
          <w:p w14:paraId="76130FCD">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打标速度</w:t>
            </w:r>
          </w:p>
        </w:tc>
        <w:tc>
          <w:tcPr>
            <w:tcW w:w="4812" w:type="dxa"/>
            <w:shd w:val="clear" w:color="auto" w:fill="auto"/>
            <w:vAlign w:val="top"/>
          </w:tcPr>
          <w:p w14:paraId="0FBDC972">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&lt;7000mm/s</w:t>
            </w:r>
          </w:p>
        </w:tc>
      </w:tr>
      <w:tr w14:paraId="0C92E257">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FAE2D5" w:themeFill="accent2" w:themeFillTint="33"/>
            <w:vAlign w:val="top"/>
          </w:tcPr>
          <w:p w14:paraId="52AF2ADA">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最小线宽</w:t>
            </w:r>
          </w:p>
        </w:tc>
        <w:tc>
          <w:tcPr>
            <w:tcW w:w="4812" w:type="dxa"/>
            <w:shd w:val="clear" w:color="auto" w:fill="FAE2D5" w:themeFill="accent2" w:themeFillTint="33"/>
            <w:vAlign w:val="top"/>
          </w:tcPr>
          <w:p w14:paraId="4E3FE73B">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0.01mm</w:t>
            </w:r>
          </w:p>
        </w:tc>
      </w:tr>
      <w:tr w14:paraId="20827C9A">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auto"/>
            <w:vAlign w:val="top"/>
          </w:tcPr>
          <w:p w14:paraId="06612C75">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最小字符</w:t>
            </w:r>
          </w:p>
        </w:tc>
        <w:tc>
          <w:tcPr>
            <w:tcW w:w="4812" w:type="dxa"/>
            <w:shd w:val="clear" w:color="auto" w:fill="auto"/>
            <w:vAlign w:val="top"/>
          </w:tcPr>
          <w:p w14:paraId="385C6435">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0.05mm</w:t>
            </w:r>
          </w:p>
        </w:tc>
      </w:tr>
      <w:tr w14:paraId="6BDC5D63">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FAE2D5" w:themeFill="accent2" w:themeFillTint="33"/>
            <w:vAlign w:val="top"/>
          </w:tcPr>
          <w:p w14:paraId="51119902">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重复精度</w:t>
            </w:r>
          </w:p>
        </w:tc>
        <w:tc>
          <w:tcPr>
            <w:tcW w:w="4812" w:type="dxa"/>
            <w:shd w:val="clear" w:color="auto" w:fill="FAE2D5" w:themeFill="accent2" w:themeFillTint="33"/>
            <w:vAlign w:val="top"/>
          </w:tcPr>
          <w:p w14:paraId="565B1A59">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士0.01mm</w:t>
            </w:r>
          </w:p>
        </w:tc>
      </w:tr>
      <w:tr w14:paraId="497A9C2A">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trHeight w:val="289" w:hRule="atLeast"/>
          <w:jc w:val="center"/>
        </w:trPr>
        <w:tc>
          <w:tcPr>
            <w:tcW w:w="3484" w:type="dxa"/>
            <w:shd w:val="clear" w:color="auto" w:fill="auto"/>
            <w:vAlign w:val="top"/>
          </w:tcPr>
          <w:p w14:paraId="12A7D072">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工作电源</w:t>
            </w:r>
          </w:p>
        </w:tc>
        <w:tc>
          <w:tcPr>
            <w:tcW w:w="4812" w:type="dxa"/>
            <w:shd w:val="clear" w:color="auto" w:fill="auto"/>
            <w:vAlign w:val="top"/>
          </w:tcPr>
          <w:p w14:paraId="543F5DE8">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AC220V/50Hz</w:t>
            </w:r>
          </w:p>
        </w:tc>
      </w:tr>
      <w:tr w14:paraId="4EB4BCFB">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FAE2D5" w:themeFill="accent2" w:themeFillTint="33"/>
            <w:vAlign w:val="top"/>
          </w:tcPr>
          <w:p w14:paraId="02879289">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冷却方式</w:t>
            </w:r>
          </w:p>
        </w:tc>
        <w:tc>
          <w:tcPr>
            <w:tcW w:w="4812" w:type="dxa"/>
            <w:shd w:val="clear" w:color="auto" w:fill="FAE2D5" w:themeFill="accent2" w:themeFillTint="33"/>
            <w:vAlign w:val="top"/>
          </w:tcPr>
          <w:p w14:paraId="08E46349">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水冷(常用)/风冷</w:t>
            </w:r>
          </w:p>
        </w:tc>
      </w:tr>
      <w:tr w14:paraId="0E5F90E0">
        <w:tblPrEx>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CellMar>
            <w:top w:w="0" w:type="dxa"/>
            <w:left w:w="108" w:type="dxa"/>
            <w:bottom w:w="0" w:type="dxa"/>
            <w:right w:w="108" w:type="dxa"/>
          </w:tblCellMar>
        </w:tblPrEx>
        <w:trPr>
          <w:jc w:val="center"/>
        </w:trPr>
        <w:tc>
          <w:tcPr>
            <w:tcW w:w="3484" w:type="dxa"/>
            <w:shd w:val="clear" w:color="auto" w:fill="auto"/>
            <w:vAlign w:val="top"/>
          </w:tcPr>
          <w:p w14:paraId="022E7B89">
            <w:pPr>
              <w:spacing w:after="0" w:line="240" w:lineRule="auto"/>
              <w:jc w:val="center"/>
              <w:rPr>
                <w:rFonts w:hint="eastAsia" w:ascii="宋体" w:hAnsi="宋体" w:eastAsia="宋体" w:cstheme="minorBidi"/>
                <w:b w:val="0"/>
                <w:bCs w:val="0"/>
                <w:kern w:val="2"/>
                <w:sz w:val="24"/>
                <w:szCs w:val="24"/>
                <w:lang w:val="en-US" w:eastAsia="zh-CN" w:bidi="ar-SA"/>
                <w14:ligatures w14:val="standardContextual"/>
              </w:rPr>
            </w:pPr>
            <w:r>
              <w:rPr>
                <w:rFonts w:hint="eastAsia" w:ascii="宋体" w:hAnsi="宋体" w:eastAsia="宋体"/>
                <w:b w:val="0"/>
                <w:bCs w:val="0"/>
                <w:sz w:val="24"/>
              </w:rPr>
              <w:t>机器尺寸</w:t>
            </w:r>
          </w:p>
        </w:tc>
        <w:tc>
          <w:tcPr>
            <w:tcW w:w="4812" w:type="dxa"/>
            <w:shd w:val="clear" w:color="auto" w:fill="auto"/>
            <w:vAlign w:val="top"/>
          </w:tcPr>
          <w:p w14:paraId="1064CE60">
            <w:pPr>
              <w:spacing w:after="0" w:line="240" w:lineRule="auto"/>
              <w:jc w:val="center"/>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790mm*600mm*1435mm</w:t>
            </w:r>
          </w:p>
        </w:tc>
      </w:tr>
    </w:tbl>
    <w:p w14:paraId="2F6763BC">
      <w:pPr>
        <w:rPr>
          <w:rFonts w:hint="eastAsia" w:ascii="宋体" w:hAnsi="宋体" w:eastAsia="宋体"/>
          <w:sz w:val="24"/>
        </w:rPr>
      </w:pPr>
    </w:p>
    <w:p w14:paraId="59929404">
      <w:pPr>
        <w:ind w:firstLine="480" w:firstLineChars="200"/>
        <w:rPr>
          <w:rFonts w:hint="eastAsia" w:ascii="宋体" w:hAnsi="宋体" w:eastAsia="宋体"/>
          <w:sz w:val="24"/>
          <w:lang w:val="en-US" w:eastAsia="zh-CN"/>
        </w:rPr>
      </w:pPr>
      <w:r>
        <w:rPr>
          <w:rFonts w:hint="eastAsia" w:ascii="宋体" w:hAnsi="宋体" w:eastAsia="宋体"/>
          <w:sz w:val="24"/>
          <w:lang w:val="en-US" w:eastAsia="zh-CN"/>
        </w:rPr>
        <w:t>雕刻范围一般是150mm*150mm、175mm*175mm为主，CO2打标机一般最大可以做到200*200mm，紫外打标机一般最大可以做到300*300mm，但范围越大，效果越差，150mm*150mm效果最好。</w:t>
      </w: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58DE3">
    <w:pPr>
      <w:pStyle w:val="12"/>
      <w:rPr>
        <w:rFonts w:hint="eastAsia"/>
      </w:rPr>
    </w:pPr>
    <w:r>
      <w:rPr>
        <w:rFonts w:hint="eastAsia"/>
      </w:rPr>
      <w:drawing>
        <wp:inline distT="0" distB="0" distL="0" distR="0">
          <wp:extent cx="514350" cy="514350"/>
          <wp:effectExtent l="0" t="0" r="0" b="0"/>
          <wp:docPr id="1215705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05616"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0265" cy="520265"/>
                  </a:xfrm>
                  <a:prstGeom prst="rect">
                    <a:avLst/>
                  </a:prstGeom>
                </pic:spPr>
              </pic:pic>
            </a:graphicData>
          </a:graphic>
        </wp:inline>
      </w:drawing>
    </w:r>
    <w:r>
      <w:rPr>
        <w:rFonts w:hint="eastAsia"/>
      </w:rPr>
      <w:t>里尔光机（北京）科技有限公司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F2"/>
    <w:rsid w:val="00133EF2"/>
    <w:rsid w:val="00184B54"/>
    <w:rsid w:val="002351A7"/>
    <w:rsid w:val="00314B16"/>
    <w:rsid w:val="003E5BE6"/>
    <w:rsid w:val="003F4DF2"/>
    <w:rsid w:val="007E472F"/>
    <w:rsid w:val="00916B3D"/>
    <w:rsid w:val="00973EEB"/>
    <w:rsid w:val="009F717E"/>
    <w:rsid w:val="00DA5D07"/>
    <w:rsid w:val="00E6094A"/>
    <w:rsid w:val="00FE0D14"/>
    <w:rsid w:val="0F1669F0"/>
    <w:rsid w:val="1E3F0DC9"/>
    <w:rsid w:val="26351580"/>
    <w:rsid w:val="43E57165"/>
    <w:rsid w:val="44F673AA"/>
    <w:rsid w:val="63167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7"/>
    <w:unhideWhenUsed/>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customStyle="1" w:styleId="19">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uiPriority w:val="9"/>
    <w:rPr>
      <w:rFonts w:cstheme="majorBidi"/>
      <w:color w:val="104862" w:themeColor="accent1" w:themeShade="BF"/>
      <w:sz w:val="28"/>
      <w:szCs w:val="28"/>
    </w:rPr>
  </w:style>
  <w:style w:type="character" w:customStyle="1" w:styleId="23">
    <w:name w:val="标题 5 字符"/>
    <w:basedOn w:val="17"/>
    <w:link w:val="6"/>
    <w:semiHidden/>
    <w:uiPriority w:val="9"/>
    <w:rPr>
      <w:rFonts w:cstheme="majorBidi"/>
      <w:color w:val="104862" w:themeColor="accent1" w:themeShade="BF"/>
      <w:sz w:val="24"/>
    </w:rPr>
  </w:style>
  <w:style w:type="character" w:customStyle="1" w:styleId="24">
    <w:name w:val="标题 6 字符"/>
    <w:basedOn w:val="17"/>
    <w:link w:val="7"/>
    <w:semiHidden/>
    <w:uiPriority w:val="9"/>
    <w:rPr>
      <w:rFonts w:cstheme="majorBidi"/>
      <w:b/>
      <w:bCs/>
      <w:color w:val="104862" w:themeColor="accent1" w:themeShade="BF"/>
    </w:rPr>
  </w:style>
  <w:style w:type="character" w:customStyle="1" w:styleId="25">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眉 字符"/>
    <w:basedOn w:val="17"/>
    <w:link w:val="12"/>
    <w:uiPriority w:val="99"/>
    <w:rPr>
      <w:sz w:val="18"/>
      <w:szCs w:val="18"/>
    </w:rPr>
  </w:style>
  <w:style w:type="character" w:customStyle="1" w:styleId="38">
    <w:name w:val="页脚 字符"/>
    <w:basedOn w:val="17"/>
    <w:link w:val="11"/>
    <w:uiPriority w:val="99"/>
    <w:rPr>
      <w:sz w:val="18"/>
      <w:szCs w:val="18"/>
    </w:rPr>
  </w:style>
  <w:style w:type="table" w:customStyle="1" w:styleId="39">
    <w:name w:val="Grid Table 3 Accent 2"/>
    <w:basedOn w:val="15"/>
    <w:qFormat/>
    <w:uiPriority w:val="48"/>
    <w:pPr>
      <w:spacing w:after="0" w:line="240" w:lineRule="auto"/>
    </w:pPr>
    <w:tblP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AE2D5" w:themeFill="accent2" w:themeFillTint="33"/>
      </w:tcPr>
    </w:tblStylePr>
    <w:tblStylePr w:type="band1Horz">
      <w:tcPr>
        <w:shd w:val="clear" w:color="auto" w:fill="FAE2D5" w:themeFill="accent2" w:themeFillTint="33"/>
      </w:tcPr>
    </w:tblStylePr>
    <w:tblStylePr w:type="neCell">
      <w:tcPr>
        <w:tcBorders>
          <w:bottom w:val="single" w:color="F1A983" w:themeColor="accent2" w:themeTint="99" w:sz="4" w:space="0"/>
        </w:tcBorders>
      </w:tcPr>
    </w:tblStylePr>
    <w:tblStylePr w:type="nwCell">
      <w:tcPr>
        <w:tcBorders>
          <w:bottom w:val="single" w:color="F1A983" w:themeColor="accent2" w:themeTint="99" w:sz="4" w:space="0"/>
        </w:tcBorders>
      </w:tcPr>
    </w:tblStylePr>
    <w:tblStylePr w:type="seCell">
      <w:tcPr>
        <w:tcBorders>
          <w:top w:val="single" w:color="F1A983" w:themeColor="accent2" w:themeTint="99" w:sz="4" w:space="0"/>
        </w:tcBorders>
      </w:tcPr>
    </w:tblStylePr>
    <w:tblStylePr w:type="swCell">
      <w:tcPr>
        <w:tcBorders>
          <w:top w:val="single" w:color="F1A983" w:themeColor="accent2" w:themeTint="99" w:sz="4" w:space="0"/>
        </w:tcBorders>
      </w:tcPr>
    </w:tblStylePr>
  </w:style>
  <w:style w:type="table" w:customStyle="1" w:styleId="40">
    <w:name w:val="Grid Table 5 Dark Accent 2"/>
    <w:basedOn w:val="15"/>
    <w:uiPriority w:val="50"/>
    <w:pPr>
      <w:spacing w:after="0"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AE2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97132"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97132"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97132"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97132" w:themeFill="accent2"/>
      </w:tcPr>
    </w:tblStylePr>
    <w:tblStylePr w:type="band1Vert">
      <w:tcPr>
        <w:shd w:val="clear" w:color="auto" w:fill="F6C6AC" w:themeFill="accent2" w:themeFillTint="66"/>
      </w:tcPr>
    </w:tblStylePr>
    <w:tblStylePr w:type="band1Horz">
      <w:tcPr>
        <w:shd w:val="clear" w:color="auto" w:fill="F6C6AC" w:themeFill="accent2" w:themeFillTint="66"/>
      </w:tcPr>
    </w:tblStylePr>
  </w:style>
  <w:style w:type="table" w:customStyle="1" w:styleId="41">
    <w:name w:val="Grid Table 7 Colorful Accent 2"/>
    <w:basedOn w:val="15"/>
    <w:uiPriority w:val="52"/>
    <w:pPr>
      <w:spacing w:after="0" w:line="240" w:lineRule="auto"/>
    </w:pPr>
    <w:rPr>
      <w:color w:val="C04F15" w:themeColor="accent2" w:themeShade="BF"/>
    </w:rPr>
    <w:tblP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AE2D5" w:themeFill="accent2" w:themeFillTint="33"/>
      </w:tcPr>
    </w:tblStylePr>
    <w:tblStylePr w:type="band1Horz">
      <w:tcPr>
        <w:shd w:val="clear" w:color="auto" w:fill="FAE2D5" w:themeFill="accent2" w:themeFillTint="33"/>
      </w:tcPr>
    </w:tblStylePr>
    <w:tblStylePr w:type="neCell">
      <w:tcPr>
        <w:tcBorders>
          <w:bottom w:val="single" w:color="F1A983" w:themeColor="accent2" w:themeTint="99" w:sz="4" w:space="0"/>
        </w:tcBorders>
      </w:tcPr>
    </w:tblStylePr>
    <w:tblStylePr w:type="nwCell">
      <w:tcPr>
        <w:tcBorders>
          <w:bottom w:val="single" w:color="F1A983" w:themeColor="accent2" w:themeTint="99" w:sz="4" w:space="0"/>
        </w:tcBorders>
      </w:tcPr>
    </w:tblStylePr>
    <w:tblStylePr w:type="seCell">
      <w:tcPr>
        <w:tcBorders>
          <w:top w:val="single" w:color="F1A983" w:themeColor="accent2" w:themeTint="99" w:sz="4" w:space="0"/>
        </w:tcBorders>
      </w:tcPr>
    </w:tblStylePr>
    <w:tblStylePr w:type="swCell">
      <w:tcPr>
        <w:tcBorders>
          <w:top w:val="single" w:color="F1A983" w:themeColor="accent2" w:themeTint="99" w:sz="4" w:space="0"/>
        </w:tcBorders>
      </w:tcPr>
    </w:tblStylePr>
  </w:style>
  <w:style w:type="table" w:customStyle="1" w:styleId="42">
    <w:name w:val="Grid Table 4 Accent 2"/>
    <w:basedOn w:val="15"/>
    <w:uiPriority w:val="49"/>
    <w:pPr>
      <w:spacing w:after="0" w:line="240" w:lineRule="auto"/>
    </w:pPr>
    <w:tblPr>
      <w:tblBorders>
        <w:top w:val="single" w:color="F1A983" w:themeColor="accent2" w:themeTint="99" w:sz="4" w:space="0"/>
        <w:left w:val="single" w:color="F1A983" w:themeColor="accent2" w:themeTint="99" w:sz="4" w:space="0"/>
        <w:bottom w:val="single" w:color="F1A983" w:themeColor="accent2" w:themeTint="99" w:sz="4" w:space="0"/>
        <w:right w:val="single" w:color="F1A983" w:themeColor="accent2" w:themeTint="99" w:sz="4" w:space="0"/>
        <w:insideH w:val="single" w:color="F1A983" w:themeColor="accent2" w:themeTint="99" w:sz="4" w:space="0"/>
        <w:insideV w:val="single" w:color="F1A983" w:themeColor="accent2" w:themeTint="99" w:sz="4" w:space="0"/>
      </w:tblBorders>
    </w:tblPr>
    <w:tblStylePr w:type="firstRow">
      <w:rPr>
        <w:b/>
        <w:bCs/>
        <w:color w:val="FFFFFF" w:themeColor="background1"/>
        <w14:textFill>
          <w14:solidFill>
            <w14:schemeClr w14:val="bg1"/>
          </w14:solidFill>
        </w14:textFill>
      </w:rPr>
      <w:tcPr>
        <w:tcBorders>
          <w:top w:val="single" w:color="E97132" w:themeColor="accent2" w:sz="4" w:space="0"/>
          <w:left w:val="single" w:color="E97132" w:themeColor="accent2" w:sz="4" w:space="0"/>
          <w:bottom w:val="single" w:color="E97132" w:themeColor="accent2" w:sz="4" w:space="0"/>
          <w:right w:val="single" w:color="E97132" w:themeColor="accent2" w:sz="4" w:space="0"/>
          <w:insideH w:val="nil"/>
          <w:insideV w:val="nil"/>
        </w:tcBorders>
        <w:shd w:val="clear" w:color="auto" w:fill="E97132" w:themeFill="accent2"/>
      </w:tcPr>
    </w:tblStylePr>
    <w:tblStylePr w:type="lastRow">
      <w:rPr>
        <w:b/>
        <w:bCs/>
      </w:rPr>
      <w:tcPr>
        <w:tcBorders>
          <w:top w:val="double" w:color="E97132" w:themeColor="accent2" w:sz="4" w:space="0"/>
        </w:tcBorders>
      </w:tcPr>
    </w:tblStylePr>
    <w:tblStylePr w:type="firstCol">
      <w:rPr>
        <w:b/>
        <w:bCs/>
      </w:rPr>
    </w:tblStylePr>
    <w:tblStylePr w:type="lastCol">
      <w:rPr>
        <w:b/>
        <w:bCs/>
      </w:rPr>
    </w:tblStylePr>
    <w:tblStylePr w:type="band1Vert">
      <w:tcPr>
        <w:shd w:val="clear" w:color="auto" w:fill="FAE2D5" w:themeFill="accent2" w:themeFillTint="33"/>
      </w:tcPr>
    </w:tblStylePr>
    <w:tblStylePr w:type="band1Horz">
      <w:tcPr>
        <w:shd w:val="clear" w:color="auto" w:fill="FAE2D5" w:themeFill="accent2" w:themeFillTint="33"/>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561</Words>
  <Characters>830</Characters>
  <Lines>4</Lines>
  <Paragraphs>1</Paragraphs>
  <TotalTime>4</TotalTime>
  <ScaleCrop>false</ScaleCrop>
  <LinksUpToDate>false</LinksUpToDate>
  <CharactersWithSpaces>838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2026-02-10T06:41:00Z</dcterms:created>
  <dc:creator>ningxy@lier-opto.com</dc:creator>
  <cp:lastModifiedBy>WPS_1595900088</cp:lastModifiedBy>
  <cp:lastPrinted>2026-02-10T07:53:00Z</cp:lastPrinted>
  <dcterms:modified xsi:type="dcterms:W3CDTF">2026-05-15T08:28:47Z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eyJoZGlkIjoiZDdmZTc5YWI4ZjIyYWUwMTY5Y2VkM2VjOGNlOGUyN2EiLCJ1c2VySWQiOiIxMDQ1Njk2MzEzIn0=</vt:lpwstr>
  </property>
  <property fmtid="{D5CDD505-2E9C-101B-9397-08002B2CF9AE}" pid="3" name="KSOProductBuildVer">
    <vt:lpwstr>2052-12.1.0.25865</vt:lpwstr>
  </property>
  <property fmtid="{D5CDD505-2E9C-101B-9397-08002B2CF9AE}" pid="4" name="ICV">
    <vt:lpwstr>F93899AB44BF4E1DB663F2888EF778F5_12</vt:lpwstr>
  </property>
</Properties>
</file>